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ANEXO X</w:t>
      </w:r>
    </w:p>
    <w:p>
      <w:pPr>
        <w:pStyle w:val="Normal"/>
        <w:spacing w:before="24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PLANO DE SUSTENTABILIDADE DO OBJETO</w:t>
      </w:r>
    </w:p>
    <w:p>
      <w:pPr>
        <w:pStyle w:val="Normal"/>
        <w:spacing w:before="240" w:after="0"/>
        <w:jc w:val="center"/>
        <w:rPr>
          <w:rFonts w:ascii="Times New Roman" w:hAnsi="Times New Roman" w:cs="Times New Roman"/>
          <w:color w:val="FF0000"/>
          <w:szCs w:val="24"/>
        </w:rPr>
      </w:pPr>
      <w:r>
        <w:rPr>
          <w:rFonts w:cs="Times New Roman" w:ascii="Times New Roman" w:hAnsi="Times New Roman"/>
          <w:color w:val="FF0000"/>
          <w:szCs w:val="24"/>
        </w:rPr>
        <w:t xml:space="preserve">(Este documento se refere unicamente a projetos de obras e serviços de arquitetura e engenharia apresentados ao Pró-Social)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before="240" w:after="0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1 – APRESENTAÇÃO</w:t>
      </w:r>
    </w:p>
    <w:p>
      <w:pPr>
        <w:pStyle w:val="Normal"/>
        <w:spacing w:before="240" w:after="0"/>
        <w:jc w:val="center"/>
        <w:rPr>
          <w:rFonts w:ascii="Times New Roman" w:hAnsi="Times New Roman" w:cs="Times New Roman"/>
          <w:color w:val="FF0000"/>
          <w:szCs w:val="24"/>
        </w:rPr>
      </w:pPr>
      <w:r>
        <w:rPr>
          <w:rFonts w:cs="Times New Roman" w:ascii="Times New Roman" w:hAnsi="Times New Roman"/>
          <w:color w:val="FF0000"/>
          <w:szCs w:val="24"/>
        </w:rPr>
      </w:r>
    </w:p>
    <w:tbl>
      <w:tblPr>
        <w:tblStyle w:val="Tabelacomgrade"/>
        <w:tblW w:w="907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3"/>
        <w:gridCol w:w="27"/>
        <w:gridCol w:w="7342"/>
      </w:tblGrid>
      <w:tr>
        <w:trPr>
          <w:trHeight w:val="627" w:hRule="atLeast"/>
        </w:trPr>
        <w:tc>
          <w:tcPr>
            <w:tcW w:w="170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t>Objeto:</w:t>
            </w:r>
          </w:p>
        </w:tc>
        <w:tc>
          <w:tcPr>
            <w:tcW w:w="736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pt-BR" w:eastAsia="en-US" w:bidi="ar-SA"/>
              </w:rPr>
              <w:t>Exemplo: instalação de sistema fotovoltaico (idêntico ao Plano de Trabalho).</w:t>
            </w:r>
          </w:p>
        </w:tc>
      </w:tr>
      <w:tr>
        <w:trPr>
          <w:trHeight w:val="420" w:hRule="atLeast"/>
        </w:trPr>
        <w:tc>
          <w:tcPr>
            <w:tcW w:w="1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t>Valor Total:</w:t>
            </w:r>
          </w:p>
        </w:tc>
        <w:tc>
          <w:tcPr>
            <w:tcW w:w="736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pt-BR" w:eastAsia="en-US" w:bidi="ar-SA"/>
              </w:rPr>
              <w:t>R$ 99.999,99</w:t>
            </w:r>
          </w:p>
        </w:tc>
      </w:tr>
      <w:tr>
        <w:trPr/>
        <w:tc>
          <w:tcPr>
            <w:tcW w:w="1730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t>Vigência:</w:t>
            </w:r>
          </w:p>
        </w:tc>
        <w:tc>
          <w:tcPr>
            <w:tcW w:w="73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pt-BR" w:eastAsia="en-US" w:bidi="ar-SA"/>
              </w:rPr>
              <w:t>12 meses</w:t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– DURABILIDADE E MANUTENÇÃO DO OBJETO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Durabilidade – Expectativa do tempo de vida útil do objeto 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Exemplo: O objeto possui expectativa de durabilidade 20 anos conforme fabricante. 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Importante: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A expectativa de durabilidade do sistema construtivo pode ser verificada na NBR15575 - Edificações Habitacionais – Desempenho. Parte 1: Requisitos gerais, ou com o fabricante. 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Manutenção – Previsão da periodicidade de manutenções necessárias para a sua longevidade. Especificar como se dará a manutenção. 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Exemplo: Serão realizadas manutenções semestrais, Atividades previstas: limpeza das placas, verificação das conexões elétricas, monitoramento da produção de energia de acordo com as especificações da NBR 5674: Manutenção de Edificações – Procedimento.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Importante: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O manual de operação, uso e manutenção (NBR 14037) deverá ser elaborado por responsável técnico da obra, ou descrito no memorial descritivo.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– ARMAZENAMENTO E GARANTIA (BENS)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Indicar o local exato de armazenamento dos bens a serem adquiridos e as garantias a serem exigidas pela entidade para aquisição 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Exemplo: Os módulos fotovoltaicos serão dispostos na cobertura, e os inversores serão instalados em área externa e coberta. A garantia observará o mínimo de 10 anos para os módulos e 5 anos para os inversores.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O objeto possui 20 anos de garantia conforme fabricante e possui expectativa de durabilidade conforme NBR15575 - Edificações Habitacionais – Desempenho. Parte 1: Requisitos gerais. 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 xml:space="preserve">Importante: </w:t>
      </w:r>
      <w:r>
        <w:rPr>
          <w:rFonts w:cs="Times New Roman" w:ascii="Times New Roman" w:hAnsi="Times New Roman"/>
          <w:color w:val="FF0000"/>
          <w:sz w:val="24"/>
          <w:szCs w:val="24"/>
        </w:rPr>
        <w:t>a entidade deverá descrever a localização de bens solicitados no Plano de Trabalho e exigir as garantias de fábrica e de instalação dos serviços.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4 – </w:t>
      </w: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CUSTOS E FONTES DE RECURSOS PARA A MANUTENÇÃO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Identificação dos custos (e das suas respectivas fontes) previstos para as manutenções, periódicas ou não, e reparos do objeto.</w:t>
      </w:r>
    </w:p>
    <w:p>
      <w:pPr>
        <w:pStyle w:val="Normal"/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Exemplo: Serão alocados R$ 250,00 no orçamento da entidade para cada manutenção semestral. O custo de manutenção de painéis fotovoltaicos é de aproximadamente 0,5% ao ano do valor inicial do sistema.</w:t>
      </w:r>
    </w:p>
    <w:p>
      <w:pPr>
        <w:pStyle w:val="Normal"/>
        <w:spacing w:before="24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tbl>
      <w:tblPr>
        <w:tblStyle w:val="Tabelacomgrade"/>
        <w:tblW w:w="87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6"/>
        <w:gridCol w:w="7120"/>
      </w:tblGrid>
      <w:tr>
        <w:trPr/>
        <w:tc>
          <w:tcPr>
            <w:tcW w:w="16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24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t xml:space="preserve">Data e Local: </w:t>
            </w:r>
          </w:p>
        </w:tc>
        <w:tc>
          <w:tcPr>
            <w:tcW w:w="71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24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878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24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24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softHyphen/>
              <w:softHyphen/>
              <w:softHyphen/>
              <w:softHyphen/>
              <w:softHyphen/>
              <w:softHyphen/>
              <w:softHyphen/>
              <w:softHyphen/>
              <w:t>---------------------------------------------------------------</w:t>
            </w:r>
          </w:p>
          <w:p>
            <w:pPr>
              <w:pStyle w:val="Normal"/>
              <w:widowControl/>
              <w:suppressAutoHyphens w:val="true"/>
              <w:spacing w:before="24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pt-BR" w:eastAsia="en-US" w:bidi="ar-SA"/>
              </w:rPr>
              <w:t>Assinatura do Responsável Legal da Entidade</w:t>
            </w:r>
          </w:p>
        </w:tc>
      </w:tr>
    </w:tbl>
    <w:p>
      <w:pPr>
        <w:pStyle w:val="Normal"/>
        <w:spacing w:before="24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(Todo texto em fonte vermelha deve ser apagado e substituído por texto próprio da Entidade)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558" w:gutter="0" w:header="708" w:top="1276" w:footer="708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rPr>
        <w:rFonts w:ascii="Times New Roman" w:hAnsi="Times New Roman" w:cs="Times New Roman"/>
        <w:color w:themeColor="text1" w:themeTint="a6" w:val="595959"/>
        <w:sz w:val="16"/>
        <w:szCs w:val="16"/>
      </w:rPr>
    </w:pPr>
    <w:r>
      <w:rPr>
        <w:rFonts w:cs="Times New Roman" w:ascii="Times New Roman" w:hAnsi="Times New Roman"/>
        <w:color w:themeColor="text1" w:themeTint="a6" w:val="595959"/>
        <w:sz w:val="16"/>
        <w:szCs w:val="16"/>
      </w:rPr>
      <w:t>Secretaria de Desenvolvimento Social do Estado do Rio Grande do Sul</w:t>
    </w:r>
  </w:p>
  <w:p>
    <w:pPr>
      <w:pStyle w:val="Header"/>
      <w:spacing w:lineRule="auto" w:line="276"/>
      <w:rPr>
        <w:rFonts w:ascii="Times New Roman" w:hAnsi="Times New Roman" w:cs="Times New Roman"/>
        <w:color w:themeColor="text1" w:themeTint="a6" w:val="595959"/>
        <w:sz w:val="16"/>
        <w:szCs w:val="16"/>
      </w:rPr>
    </w:pPr>
    <w:r>
      <w:rPr>
        <w:rFonts w:cs="Times New Roman" w:ascii="Times New Roman" w:hAnsi="Times New Roman"/>
        <w:color w:themeColor="text1" w:themeTint="a6" w:val="595959"/>
        <w:sz w:val="16"/>
        <w:szCs w:val="16"/>
      </w:rPr>
      <w:t xml:space="preserve">Av. Borges de Medeiros, 1501, 8º andar - </w:t>
    </w:r>
    <w:r>
      <w:rPr>
        <w:rFonts w:eastAsia="Wingdings" w:cs="Wingdings" w:ascii="Wingdings" w:hAnsi="Wingdings"/>
        <w:color w:themeColor="text1" w:themeTint="a6" w:val="595959"/>
        <w:sz w:val="16"/>
        <w:szCs w:val="16"/>
      </w:rPr>
      <w:t></w:t>
    </w:r>
    <w:r>
      <w:rPr>
        <w:rFonts w:cs="Times New Roman" w:ascii="Times New Roman" w:hAnsi="Times New Roman"/>
        <w:color w:themeColor="text1" w:themeTint="a6" w:val="595959"/>
        <w:sz w:val="16"/>
        <w:szCs w:val="16"/>
      </w:rPr>
      <w:t xml:space="preserve"> (51) 32886400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rPr>
        <w:rFonts w:ascii="Times New Roman" w:hAnsi="Times New Roman" w:cs="Times New Roman"/>
        <w:color w:themeColor="text1" w:themeTint="a6" w:val="595959"/>
        <w:sz w:val="16"/>
        <w:szCs w:val="16"/>
      </w:rPr>
    </w:pPr>
    <w:r>
      <w:rPr>
        <w:rFonts w:cs="Times New Roman" w:ascii="Times New Roman" w:hAnsi="Times New Roman"/>
        <w:color w:themeColor="text1" w:themeTint="a6" w:val="595959"/>
        <w:sz w:val="16"/>
        <w:szCs w:val="16"/>
      </w:rPr>
      <w:t>Secretaria de Desenvolvimento Social do Estado do Rio Grande do Sul</w:t>
    </w:r>
  </w:p>
  <w:p>
    <w:pPr>
      <w:pStyle w:val="Header"/>
      <w:spacing w:lineRule="auto" w:line="276"/>
      <w:rPr>
        <w:rFonts w:ascii="Times New Roman" w:hAnsi="Times New Roman" w:cs="Times New Roman"/>
        <w:color w:themeColor="text1" w:themeTint="a6" w:val="595959"/>
        <w:sz w:val="16"/>
        <w:szCs w:val="16"/>
      </w:rPr>
    </w:pPr>
    <w:r>
      <w:rPr>
        <w:rFonts w:cs="Times New Roman" w:ascii="Times New Roman" w:hAnsi="Times New Roman"/>
        <w:color w:themeColor="text1" w:themeTint="a6" w:val="595959"/>
        <w:sz w:val="16"/>
        <w:szCs w:val="16"/>
      </w:rPr>
      <w:t xml:space="preserve">Av. Borges de Medeiros, 1501, 8º andar - </w:t>
    </w:r>
    <w:r>
      <w:rPr>
        <w:rFonts w:eastAsia="Wingdings" w:cs="Wingdings" w:ascii="Wingdings" w:hAnsi="Wingdings"/>
        <w:color w:themeColor="text1" w:themeTint="a6" w:val="595959"/>
        <w:sz w:val="16"/>
        <w:szCs w:val="16"/>
      </w:rPr>
      <w:t></w:t>
    </w:r>
    <w:r>
      <w:rPr>
        <w:rFonts w:cs="Times New Roman" w:ascii="Times New Roman" w:hAnsi="Times New Roman"/>
        <w:color w:themeColor="text1" w:themeTint="a6" w:val="595959"/>
        <w:sz w:val="16"/>
        <w:szCs w:val="16"/>
      </w:rPr>
      <w:t xml:space="preserve"> (51) 32886400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2186940</wp:posOffset>
          </wp:positionH>
          <wp:positionV relativeFrom="paragraph">
            <wp:posOffset>-377190</wp:posOffset>
          </wp:positionV>
          <wp:extent cx="755650" cy="60007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jc w:val="center"/>
      <w:rPr>
        <w:rFonts w:ascii="Times New Roman" w:hAnsi="Times New Roman" w:cs="Times New Roman"/>
        <w:szCs w:val="24"/>
      </w:rPr>
    </w:pPr>
    <w:r>
      <w:rPr>
        <w:rFonts w:cs="Times New Roman" w:ascii="Times New Roman" w:hAnsi="Times New Roman"/>
        <w:szCs w:val="24"/>
      </w:rPr>
      <w:t>Programa de Incentivo à Inclusão e Promoção Social</w:t>
    </w:r>
  </w:p>
  <w:p>
    <w:pPr>
      <w:pStyle w:val="Header"/>
      <w:jc w:val="center"/>
      <w:rPr>
        <w:rFonts w:ascii="Times New Roman" w:hAnsi="Times New Roman" w:cs="Times New Roman"/>
        <w:szCs w:val="24"/>
      </w:rPr>
    </w:pPr>
    <w:r>
      <w:rPr>
        <w:rFonts w:cs="Times New Roman" w:ascii="Times New Roman" w:hAnsi="Times New Roman"/>
        <w:szCs w:val="24"/>
      </w:rPr>
      <w:t xml:space="preserve">Lei Estadual nº </w:t>
    </w:r>
    <w:r>
      <w:rPr>
        <w:rFonts w:cs="Times New Roman" w:ascii="Times New Roman" w:hAnsi="Times New Roman"/>
        <w:szCs w:val="24"/>
      </w:rPr>
      <w:t>16.423/2025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2186940</wp:posOffset>
          </wp:positionH>
          <wp:positionV relativeFrom="paragraph">
            <wp:posOffset>-377190</wp:posOffset>
          </wp:positionV>
          <wp:extent cx="755650" cy="600075"/>
          <wp:effectExtent l="0" t="0" r="0" b="0"/>
          <wp:wrapTopAndBottom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  <w:p>
    <w:pPr>
      <w:pStyle w:val="Header"/>
      <w:jc w:val="center"/>
      <w:rPr>
        <w:rFonts w:ascii="Times New Roman" w:hAnsi="Times New Roman" w:cs="Times New Roman"/>
        <w:szCs w:val="24"/>
      </w:rPr>
    </w:pPr>
    <w:r>
      <w:rPr>
        <w:rFonts w:cs="Times New Roman" w:ascii="Times New Roman" w:hAnsi="Times New Roman"/>
        <w:szCs w:val="24"/>
      </w:rPr>
      <w:t>Programa de Incentivo à Inclusão e Promoção Social</w:t>
    </w:r>
  </w:p>
  <w:p>
    <w:pPr>
      <w:pStyle w:val="Header"/>
      <w:jc w:val="center"/>
      <w:rPr>
        <w:rFonts w:ascii="Times New Roman" w:hAnsi="Times New Roman" w:cs="Times New Roman"/>
        <w:szCs w:val="24"/>
      </w:rPr>
    </w:pPr>
    <w:r>
      <w:rPr>
        <w:rFonts w:cs="Times New Roman" w:ascii="Times New Roman" w:hAnsi="Times New Roman"/>
        <w:szCs w:val="24"/>
      </w:rPr>
      <w:t xml:space="preserve">Lei Estadual nº </w:t>
    </w:r>
    <w:r>
      <w:rPr>
        <w:rFonts w:cs="Times New Roman" w:ascii="Times New Roman" w:hAnsi="Times New Roman"/>
        <w:szCs w:val="24"/>
      </w:rPr>
      <w:t>16.423/2025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0b0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f0741"/>
    <w:rPr/>
  </w:style>
  <w:style w:type="character" w:styleId="RodapChar" w:customStyle="1">
    <w:name w:val="Rodapé Char"/>
    <w:basedOn w:val="DefaultParagraphFont"/>
    <w:uiPriority w:val="99"/>
    <w:qFormat/>
    <w:rsid w:val="00ef0741"/>
    <w:rPr/>
  </w:style>
  <w:style w:type="character" w:styleId="LinkdaInternetuser" w:customStyle="1">
    <w:name w:val="Link da Internet (user)"/>
    <w:basedOn w:val="DefaultParagraphFont"/>
    <w:uiPriority w:val="99"/>
    <w:unhideWhenUsed/>
    <w:qFormat/>
    <w:rsid w:val="001576e7"/>
    <w:rPr>
      <w:color w:themeColor="hyperlink" w:val="0000FF"/>
      <w:u w:val="single"/>
    </w:rPr>
  </w:style>
  <w:style w:type="character" w:styleId="TtuloChar" w:customStyle="1">
    <w:name w:val="Título Char"/>
    <w:basedOn w:val="DefaultParagraphFont"/>
    <w:qFormat/>
    <w:rsid w:val="00cd4a61"/>
    <w:rPr>
      <w:rFonts w:ascii="Liberation Sans" w:hAnsi="Liberation Sans" w:eastAsia="Microsoft YaHei" w:cs="Mangal"/>
      <w:sz w:val="28"/>
      <w:szCs w:val="28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d4a61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24e4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cd4a61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tuloChar"/>
    <w:qFormat/>
    <w:rsid w:val="00cd4a61"/>
    <w:pPr>
      <w:keepNext w:val="true"/>
      <w:spacing w:lineRule="auto" w:line="259"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f074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f074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24e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5a1"/>
    <w:pPr>
      <w:spacing w:before="0" w:after="200"/>
      <w:ind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f074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B409E9EF5D684AB7415175ACCF8FA0" ma:contentTypeVersion="16" ma:contentTypeDescription="Crie um novo documento." ma:contentTypeScope="" ma:versionID="b1792d29df75b50d1a23e0f6e232b076">
  <xsd:schema xmlns:xsd="http://www.w3.org/2001/XMLSchema" xmlns:xs="http://www.w3.org/2001/XMLSchema" xmlns:p="http://schemas.microsoft.com/office/2006/metadata/properties" xmlns:ns2="09c5fbbc-8d6d-4a31-a8dc-10cdd6ad12f3" xmlns:ns3="739544bf-08ce-4726-ba8c-83319327a59e" targetNamespace="http://schemas.microsoft.com/office/2006/metadata/properties" ma:root="true" ma:fieldsID="329654784c9b19e3db2475dddce96233" ns2:_="" ns3:_="">
    <xsd:import namespace="09c5fbbc-8d6d-4a31-a8dc-10cdd6ad12f3"/>
    <xsd:import namespace="739544bf-08ce-4726-ba8c-83319327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fbbc-8d6d-4a31-a8dc-10cdd6ad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44bf-08ce-4726-ba8c-83319327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5fbbc-8d6d-4a31-a8dc-10cdd6ad12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08269-869A-494C-98C3-961C32382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05992-238C-45F3-AC28-53676DF29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F4CE9-0B42-45D8-A7B4-73AEC22FACC5}"/>
</file>

<file path=customXml/itemProps4.xml><?xml version="1.0" encoding="utf-8"?>
<ds:datastoreItem xmlns:ds="http://schemas.openxmlformats.org/officeDocument/2006/customXml" ds:itemID="{197675D5-E836-4861-8A91-65A8EFF7C3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LibreOffice/25.2.7.2$Windows_X86_64 LibreOffice_project/5cbfd1ab6520636bb5f7b99185aa69bd7456825d</Application>
  <AppVersion>15.0000</AppVersion>
  <Pages>2</Pages>
  <Words>403</Words>
  <Characters>2331</Characters>
  <CharactersWithSpaces>2712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2025-03-31T13:02:00Z</dcterms:created>
  <dc:creator>douglas-moura</dc:creator>
  <dc:description/>
  <dc:language>pt-BR</dc:language>
  <cp:lastModifiedBy/>
  <dcterms:modified xsi:type="dcterms:W3CDTF">2026-04-16T15:24:06Z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0x01010044B409E9EF5D684AB7415175ACCF8FA0</vt:lpwstr>
  </property>
</Properties>
</file>